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451E3" w:rsidRPr="00B451E3" w:rsidTr="00B451E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51E3" w:rsidRPr="00B451E3" w:rsidRDefault="00B451E3" w:rsidP="00B451E3">
            <w:pPr>
              <w:spacing w:after="0" w:line="240" w:lineRule="atLeast"/>
              <w:rPr>
                <w:rFonts w:ascii="Times New Roman" w:eastAsia="Times New Roman" w:hAnsi="Times New Roman" w:cs="Times New Roman"/>
                <w:sz w:val="24"/>
                <w:szCs w:val="24"/>
                <w:lang w:eastAsia="tr-TR"/>
              </w:rPr>
            </w:pPr>
            <w:bookmarkStart w:id="0" w:name="_GoBack"/>
            <w:bookmarkEnd w:id="0"/>
            <w:r w:rsidRPr="00B451E3">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51E3" w:rsidRPr="00B451E3" w:rsidRDefault="00B451E3" w:rsidP="00B451E3">
            <w:pPr>
              <w:spacing w:after="0" w:line="240" w:lineRule="atLeast"/>
              <w:jc w:val="center"/>
              <w:rPr>
                <w:rFonts w:ascii="Times New Roman" w:eastAsia="Times New Roman" w:hAnsi="Times New Roman" w:cs="Times New Roman"/>
                <w:sz w:val="24"/>
                <w:szCs w:val="24"/>
                <w:lang w:eastAsia="tr-TR"/>
              </w:rPr>
            </w:pPr>
            <w:r w:rsidRPr="00B451E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51E3" w:rsidRPr="00B451E3" w:rsidRDefault="00B451E3" w:rsidP="00B451E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451E3">
              <w:rPr>
                <w:rFonts w:ascii="Arial" w:eastAsia="Times New Roman" w:hAnsi="Arial" w:cs="Arial"/>
                <w:sz w:val="16"/>
                <w:szCs w:val="16"/>
                <w:lang w:eastAsia="tr-TR"/>
              </w:rPr>
              <w:t>Sayı :</w:t>
            </w:r>
            <w:proofErr w:type="gramEnd"/>
            <w:r w:rsidRPr="00B451E3">
              <w:rPr>
                <w:rFonts w:ascii="Arial" w:eastAsia="Times New Roman" w:hAnsi="Arial" w:cs="Arial"/>
                <w:sz w:val="16"/>
                <w:szCs w:val="16"/>
                <w:lang w:eastAsia="tr-TR"/>
              </w:rPr>
              <w:t xml:space="preserve"> 30287</w:t>
            </w:r>
          </w:p>
        </w:tc>
      </w:tr>
      <w:tr w:rsidR="00B451E3" w:rsidRPr="00B451E3" w:rsidTr="00B451E3">
        <w:trPr>
          <w:trHeight w:val="480"/>
        </w:trPr>
        <w:tc>
          <w:tcPr>
            <w:tcW w:w="8789" w:type="dxa"/>
            <w:gridSpan w:val="3"/>
            <w:tcMar>
              <w:top w:w="0" w:type="dxa"/>
              <w:left w:w="108" w:type="dxa"/>
              <w:bottom w:w="0" w:type="dxa"/>
              <w:right w:w="108" w:type="dxa"/>
            </w:tcMar>
            <w:vAlign w:val="center"/>
            <w:hideMark/>
          </w:tcPr>
          <w:p w:rsidR="00B451E3" w:rsidRPr="00B451E3" w:rsidRDefault="00B451E3" w:rsidP="00B451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51E3">
              <w:rPr>
                <w:rFonts w:ascii="Arial" w:eastAsia="Times New Roman" w:hAnsi="Arial" w:cs="Arial"/>
                <w:b/>
                <w:bCs/>
                <w:color w:val="000080"/>
                <w:sz w:val="18"/>
                <w:szCs w:val="18"/>
                <w:lang w:eastAsia="tr-TR"/>
              </w:rPr>
              <w:t>TEBLİĞ</w:t>
            </w:r>
          </w:p>
        </w:tc>
      </w:tr>
      <w:tr w:rsidR="00B451E3" w:rsidRPr="00B451E3" w:rsidTr="00B451E3">
        <w:trPr>
          <w:trHeight w:val="480"/>
        </w:trPr>
        <w:tc>
          <w:tcPr>
            <w:tcW w:w="8789" w:type="dxa"/>
            <w:gridSpan w:val="3"/>
            <w:tcMar>
              <w:top w:w="0" w:type="dxa"/>
              <w:left w:w="108" w:type="dxa"/>
              <w:bottom w:w="0" w:type="dxa"/>
              <w:right w:w="108" w:type="dxa"/>
            </w:tcMar>
            <w:vAlign w:val="center"/>
            <w:hideMark/>
          </w:tcPr>
          <w:p w:rsidR="00B451E3" w:rsidRPr="00B451E3" w:rsidRDefault="00B451E3" w:rsidP="00B451E3">
            <w:pPr>
              <w:spacing w:after="0" w:line="240" w:lineRule="atLeast"/>
              <w:ind w:firstLine="566"/>
              <w:jc w:val="both"/>
              <w:rPr>
                <w:rFonts w:ascii="Times New Roman" w:eastAsia="Times New Roman" w:hAnsi="Times New Roman" w:cs="Times New Roman"/>
                <w:u w:val="single"/>
                <w:lang w:eastAsia="tr-TR"/>
              </w:rPr>
            </w:pPr>
            <w:r w:rsidRPr="00B451E3">
              <w:rPr>
                <w:rFonts w:ascii="Times New Roman" w:eastAsia="Times New Roman" w:hAnsi="Times New Roman" w:cs="Times New Roman"/>
                <w:sz w:val="18"/>
                <w:szCs w:val="18"/>
                <w:u w:val="single"/>
                <w:lang w:eastAsia="tr-TR"/>
              </w:rPr>
              <w:t>Maliye Bakanlığı (Gelir İdaresi Başkanlığı)’</w:t>
            </w:r>
            <w:proofErr w:type="spellStart"/>
            <w:r w:rsidRPr="00B451E3">
              <w:rPr>
                <w:rFonts w:ascii="Times New Roman" w:eastAsia="Times New Roman" w:hAnsi="Times New Roman" w:cs="Times New Roman"/>
                <w:sz w:val="18"/>
                <w:szCs w:val="18"/>
                <w:u w:val="single"/>
                <w:lang w:eastAsia="tr-TR"/>
              </w:rPr>
              <w:t>ndan</w:t>
            </w:r>
            <w:proofErr w:type="spellEnd"/>
            <w:r w:rsidRPr="00B451E3">
              <w:rPr>
                <w:rFonts w:ascii="Times New Roman" w:eastAsia="Times New Roman" w:hAnsi="Times New Roman" w:cs="Times New Roman"/>
                <w:sz w:val="18"/>
                <w:szCs w:val="18"/>
                <w:u w:val="single"/>
                <w:lang w:eastAsia="tr-TR"/>
              </w:rPr>
              <w:t>:</w:t>
            </w:r>
          </w:p>
          <w:p w:rsidR="00B451E3" w:rsidRPr="00B451E3" w:rsidRDefault="00B451E3" w:rsidP="00B451E3">
            <w:pPr>
              <w:spacing w:before="56" w:after="0" w:line="240" w:lineRule="atLeast"/>
              <w:jc w:val="center"/>
              <w:rPr>
                <w:rFonts w:ascii="Times New Roman" w:eastAsia="Times New Roman" w:hAnsi="Times New Roman" w:cs="Times New Roman"/>
                <w:b/>
                <w:bCs/>
                <w:sz w:val="19"/>
                <w:szCs w:val="19"/>
                <w:lang w:eastAsia="tr-TR"/>
              </w:rPr>
            </w:pPr>
            <w:r w:rsidRPr="00B451E3">
              <w:rPr>
                <w:rFonts w:ascii="Times New Roman" w:eastAsia="Times New Roman" w:hAnsi="Times New Roman" w:cs="Times New Roman"/>
                <w:b/>
                <w:bCs/>
                <w:sz w:val="18"/>
                <w:szCs w:val="18"/>
                <w:lang w:eastAsia="tr-TR"/>
              </w:rPr>
              <w:t>KATMA DEĞER VERGİSİ GENEL UYGULAMA TEBLİĞİNDE</w:t>
            </w:r>
          </w:p>
          <w:p w:rsidR="00B451E3" w:rsidRPr="00B451E3" w:rsidRDefault="00B451E3" w:rsidP="00B451E3">
            <w:pPr>
              <w:spacing w:after="0" w:line="240" w:lineRule="atLeast"/>
              <w:jc w:val="center"/>
              <w:rPr>
                <w:rFonts w:ascii="Times New Roman" w:eastAsia="Times New Roman" w:hAnsi="Times New Roman" w:cs="Times New Roman"/>
                <w:b/>
                <w:bCs/>
                <w:sz w:val="19"/>
                <w:szCs w:val="19"/>
                <w:lang w:eastAsia="tr-TR"/>
              </w:rPr>
            </w:pPr>
            <w:r w:rsidRPr="00B451E3">
              <w:rPr>
                <w:rFonts w:ascii="Times New Roman" w:eastAsia="Times New Roman" w:hAnsi="Times New Roman" w:cs="Times New Roman"/>
                <w:b/>
                <w:bCs/>
                <w:sz w:val="18"/>
                <w:szCs w:val="18"/>
                <w:lang w:eastAsia="tr-TR"/>
              </w:rPr>
              <w:t>DEĞİŞİKLİK YAPILMASINA DAİR TEBLİĞ</w:t>
            </w:r>
          </w:p>
          <w:p w:rsidR="00B451E3" w:rsidRPr="00B451E3" w:rsidRDefault="00B451E3" w:rsidP="00B451E3">
            <w:pPr>
              <w:spacing w:after="170" w:line="240" w:lineRule="atLeast"/>
              <w:jc w:val="center"/>
              <w:rPr>
                <w:rFonts w:ascii="Times New Roman" w:eastAsia="Times New Roman" w:hAnsi="Times New Roman" w:cs="Times New Roman"/>
                <w:b/>
                <w:bCs/>
                <w:sz w:val="19"/>
                <w:szCs w:val="19"/>
                <w:lang w:eastAsia="tr-TR"/>
              </w:rPr>
            </w:pPr>
            <w:r w:rsidRPr="00B451E3">
              <w:rPr>
                <w:rFonts w:ascii="Times New Roman" w:eastAsia="Times New Roman" w:hAnsi="Times New Roman" w:cs="Times New Roman"/>
                <w:b/>
                <w:bCs/>
                <w:sz w:val="18"/>
                <w:szCs w:val="18"/>
                <w:lang w:eastAsia="tr-TR"/>
              </w:rPr>
              <w:t>(SERİ NO: 16)</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1 –</w:t>
            </w:r>
            <w:r w:rsidRPr="00B451E3">
              <w:rPr>
                <w:rFonts w:ascii="Times New Roman" w:eastAsia="Times New Roman" w:hAnsi="Times New Roman" w:cs="Times New Roman"/>
                <w:sz w:val="18"/>
                <w:szCs w:val="18"/>
                <w:lang w:eastAsia="tr-TR"/>
              </w:rPr>
              <w:t xml:space="preserve"> 26/4/2014 tarihli ve 28983 sayılı Resmî Gazete’de yayımlanan Katma Değer Vergisi Genel Uygulama Tebliğinin (II/E) kısmının </w:t>
            </w:r>
            <w:proofErr w:type="gramStart"/>
            <w:r w:rsidRPr="00B451E3">
              <w:rPr>
                <w:rFonts w:ascii="Times New Roman" w:eastAsia="Times New Roman" w:hAnsi="Times New Roman" w:cs="Times New Roman"/>
                <w:sz w:val="18"/>
                <w:szCs w:val="18"/>
                <w:lang w:eastAsia="tr-TR"/>
              </w:rPr>
              <w:t xml:space="preserve">7 </w:t>
            </w:r>
            <w:proofErr w:type="spellStart"/>
            <w:r w:rsidRPr="00B451E3">
              <w:rPr>
                <w:rFonts w:ascii="Times New Roman" w:eastAsia="Times New Roman" w:hAnsi="Times New Roman" w:cs="Times New Roman"/>
                <w:sz w:val="18"/>
                <w:szCs w:val="18"/>
                <w:lang w:eastAsia="tr-TR"/>
              </w:rPr>
              <w:t>nci</w:t>
            </w:r>
            <w:proofErr w:type="spellEnd"/>
            <w:proofErr w:type="gramEnd"/>
            <w:r w:rsidRPr="00B451E3">
              <w:rPr>
                <w:rFonts w:ascii="Times New Roman" w:eastAsia="Times New Roman" w:hAnsi="Times New Roman" w:cs="Times New Roman"/>
                <w:sz w:val="18"/>
                <w:szCs w:val="18"/>
                <w:lang w:eastAsia="tr-TR"/>
              </w:rPr>
              <w:t xml:space="preserve"> bölümünden sonra gelmek üzere başlığıyla birlikte aşağıdaki bölüm eklenmiştir.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w:t>
            </w:r>
            <w:r w:rsidRPr="00B451E3">
              <w:rPr>
                <w:rFonts w:ascii="Times New Roman" w:eastAsia="Times New Roman" w:hAnsi="Times New Roman" w:cs="Times New Roman"/>
                <w:b/>
                <w:bCs/>
                <w:sz w:val="18"/>
                <w:szCs w:val="18"/>
                <w:lang w:eastAsia="tr-TR"/>
              </w:rPr>
              <w:t xml:space="preserve">8. Eğitimde Fırsatları Artırma ve Teknolojiyi İyileştirme Hareketi (FATİH) Projesi Kapsamında </w:t>
            </w:r>
            <w:proofErr w:type="gramStart"/>
            <w:r w:rsidRPr="00B451E3">
              <w:rPr>
                <w:rFonts w:ascii="Times New Roman" w:eastAsia="Times New Roman" w:hAnsi="Times New Roman" w:cs="Times New Roman"/>
                <w:b/>
                <w:bCs/>
                <w:sz w:val="18"/>
                <w:szCs w:val="18"/>
                <w:lang w:eastAsia="tr-TR"/>
              </w:rPr>
              <w:t>Milli</w:t>
            </w:r>
            <w:proofErr w:type="gramEnd"/>
            <w:r w:rsidRPr="00B451E3">
              <w:rPr>
                <w:rFonts w:ascii="Times New Roman" w:eastAsia="Times New Roman" w:hAnsi="Times New Roman" w:cs="Times New Roman"/>
                <w:b/>
                <w:bCs/>
                <w:sz w:val="18"/>
                <w:szCs w:val="18"/>
                <w:lang w:eastAsia="tr-TR"/>
              </w:rPr>
              <w:t xml:space="preserve"> Eğitim Bakanlığına Yapılacak Mal Teslimi ve Hizmet İfalarında İstisna</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3065 sayılı Kanunun geçici 38 inci maddesinin birinci fıkrasında;</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 Bu maddenin yürürlüğe girdiği 5/12/2017 tarihinden itibaren düzenlenen sözleşmelere istinaden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 tarafından FATİH Projesi kapsamında yapılan mal ve hizmet alımlarında uygulanmak üzere, proje bileşenlerine ilişkin olarak; Milli Eğitim Bakanlığınca yapılan ithalatlar ile bu Bakanlığa yapılan mal teslimleri ve hizmet ifalarının katma değer vergisinden müstesna olduğu,</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Bu kapsamda yapılan mal teslimleri ve hizmet ifaları nedeniyle yüklenilen vergilerin, vergiye tabi işlemler üzerinden hesaplanan vergiden indirileceği,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 İndirim yoluyla telafi edilemeyen vergilerin 3065 sayılı Kanunun </w:t>
            </w:r>
            <w:proofErr w:type="gramStart"/>
            <w:r w:rsidRPr="00B451E3">
              <w:rPr>
                <w:rFonts w:ascii="Times New Roman" w:eastAsia="Times New Roman" w:hAnsi="Times New Roman" w:cs="Times New Roman"/>
                <w:sz w:val="18"/>
                <w:szCs w:val="18"/>
                <w:lang w:eastAsia="tr-TR"/>
              </w:rPr>
              <w:t xml:space="preserve">32 </w:t>
            </w:r>
            <w:proofErr w:type="spellStart"/>
            <w:r w:rsidRPr="00B451E3">
              <w:rPr>
                <w:rFonts w:ascii="Times New Roman" w:eastAsia="Times New Roman" w:hAnsi="Times New Roman" w:cs="Times New Roman"/>
                <w:sz w:val="18"/>
                <w:szCs w:val="18"/>
                <w:lang w:eastAsia="tr-TR"/>
              </w:rPr>
              <w:t>nci</w:t>
            </w:r>
            <w:proofErr w:type="spellEnd"/>
            <w:proofErr w:type="gramEnd"/>
            <w:r w:rsidRPr="00B451E3">
              <w:rPr>
                <w:rFonts w:ascii="Times New Roman" w:eastAsia="Times New Roman" w:hAnsi="Times New Roman" w:cs="Times New Roman"/>
                <w:sz w:val="18"/>
                <w:szCs w:val="18"/>
                <w:lang w:eastAsia="tr-TR"/>
              </w:rPr>
              <w:t xml:space="preserve"> maddesi hükmü uyarınca istisna kapsamında işlem yapan mükellefin talebi üzerine iade edileceği,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Maliye Bakanlığının istisna ve iadeye ilişkin usul ve esasları belirlemeye yetkili olduğu</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proofErr w:type="gramStart"/>
            <w:r w:rsidRPr="00B451E3">
              <w:rPr>
                <w:rFonts w:ascii="Times New Roman" w:eastAsia="Times New Roman" w:hAnsi="Times New Roman" w:cs="Times New Roman"/>
                <w:sz w:val="18"/>
                <w:szCs w:val="18"/>
                <w:lang w:eastAsia="tr-TR"/>
              </w:rPr>
              <w:t>hükme</w:t>
            </w:r>
            <w:proofErr w:type="gramEnd"/>
            <w:r w:rsidRPr="00B451E3">
              <w:rPr>
                <w:rFonts w:ascii="Times New Roman" w:eastAsia="Times New Roman" w:hAnsi="Times New Roman" w:cs="Times New Roman"/>
                <w:sz w:val="18"/>
                <w:szCs w:val="18"/>
                <w:lang w:eastAsia="tr-TR"/>
              </w:rPr>
              <w:t xml:space="preserve"> bağlanmıştır.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 istisna uygulamasına ilişkin usul ve esaslar aşağıda belirlenmiştir.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8.1. Kapsam</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Söz konusu istisnanın uygulanabilmesi için;</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 Sözleşmenin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 ile yükleniciler arasında 5/12/2017 tarihinden sonra düzenlenmiş olması,</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Sözleşme konusu mal ve hizmetlerin FATİH projesi kapsamındaki bileşenlerden olması,</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 Proje kapsamındaki mal teslimi ve hizmet ifalarının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Bakanlığına yapılmış olması veya bu kapsamdaki ithalatın Milli Eğitim Bakanlığı tarafından yapılmış olması</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proofErr w:type="gramStart"/>
            <w:r w:rsidRPr="00B451E3">
              <w:rPr>
                <w:rFonts w:ascii="Times New Roman" w:eastAsia="Times New Roman" w:hAnsi="Times New Roman" w:cs="Times New Roman"/>
                <w:sz w:val="18"/>
                <w:szCs w:val="18"/>
                <w:lang w:eastAsia="tr-TR"/>
              </w:rPr>
              <w:t>gerekmektedir</w:t>
            </w:r>
            <w:proofErr w:type="gramEnd"/>
            <w:r w:rsidRPr="00B451E3">
              <w:rPr>
                <w:rFonts w:ascii="Times New Roman" w:eastAsia="Times New Roman" w:hAnsi="Times New Roman" w:cs="Times New Roman"/>
                <w:sz w:val="18"/>
                <w:szCs w:val="18"/>
                <w:lang w:eastAsia="tr-TR"/>
              </w:rPr>
              <w:t>.</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8.2. İstisnanın Uygulaması</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FATİH projesine ilişkin olarak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Bakanlığına istisna kapsamında yapılacak teslim ve hizmetler için Milli Eğitim Bakanlığınca Tebliğ eki (EK:25) istisna belgesi düzenlenerek satıcılara verilir. Satıcılar bu belgeye istinaden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Bakanlığına yapılacak FATİH projesi kapsamındaki mal teslimi ve hizmet ifalarında KDV hesaplamaz. Bu kapsamdaki malların ithalinde istisna belgesi </w:t>
            </w:r>
            <w:proofErr w:type="gramStart"/>
            <w:r w:rsidRPr="00B451E3">
              <w:rPr>
                <w:rFonts w:ascii="Times New Roman" w:eastAsia="Times New Roman" w:hAnsi="Times New Roman" w:cs="Times New Roman"/>
                <w:sz w:val="18"/>
                <w:szCs w:val="18"/>
                <w:lang w:eastAsia="tr-TR"/>
              </w:rPr>
              <w:t>Milli</w:t>
            </w:r>
            <w:proofErr w:type="gramEnd"/>
            <w:r w:rsidRPr="00B451E3">
              <w:rPr>
                <w:rFonts w:ascii="Times New Roman" w:eastAsia="Times New Roman" w:hAnsi="Times New Roman" w:cs="Times New Roman"/>
                <w:sz w:val="18"/>
                <w:szCs w:val="18"/>
                <w:lang w:eastAsia="tr-TR"/>
              </w:rPr>
              <w:t xml:space="preserve"> Eğitim Bakanlığı tarafından gümrük müdürlüğüne hitaben düzenlenir.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Düzenlenecek istisna belgesine, istisna kapsamındaki mal ve hizmetlerin nitelik, miktar ve tutarını gösteren bir liste de eklenir.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Satıcı firma bu istisna belgesi ve eki listeyi 213 sayılı Kanunun muhafaza ve ibraz hükümlerine göre saklar.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İstisna uygulanan teslim ve hizmetler nedeniyle yüklenilen KDV, satıcılar tarafından indirim konusu yapılabilir. İndirim yoluyla telafi edilemeyen KDV satıcılara talep edilmesi halinde iade edilir.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8.3. İstisnanın Beyanı</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 istisna kapsamında satıcılar tarafından KDV hesaplanmayan teslim ve hizmetler, teslim ve hizmetin gerçekleştiği döneme ait KDV beyannamesinde yer alan "İstisnalar-Diğer İade Hakkı Doğuran İşlemler" kulakçığının "Tam İstisna Kapsamına Giren İşlemler" tablosunda 329 kod numaralı satırında beyan edilir.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Beyan edilen satırın "Teslim ve Hizmet Tutarı" sütununa istisnaya konu teslim ve hizmetlerin tutarı, "Yüklenilen KDV" sütununa bu teslim ve hizmetlere ilişkin alım ve giderlere ait belgelerde gösterilen toplam KDV tutarı yazılır. İade talep etmek istemeyen mükellefler, "Yüklenilen KDV" sütununa “0” yazmalıdır.</w:t>
            </w: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16633A" w:rsidRDefault="0016633A" w:rsidP="00B451E3">
            <w:pPr>
              <w:spacing w:after="0" w:line="240" w:lineRule="atLeast"/>
              <w:ind w:firstLine="566"/>
              <w:jc w:val="both"/>
              <w:rPr>
                <w:rFonts w:ascii="Times New Roman" w:eastAsia="Times New Roman" w:hAnsi="Times New Roman" w:cs="Times New Roman"/>
                <w:b/>
                <w:bCs/>
                <w:sz w:val="18"/>
                <w:szCs w:val="18"/>
                <w:lang w:eastAsia="tr-TR"/>
              </w:rPr>
            </w:pP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8.4. İade</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 istisnadan kaynaklanan iade taleplerinde aşağıdaki belgeler aranır: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Standart iade talep dilekçesi.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İstisnanın beyan edildiği döneme ilişkin indirilecek KDV listesi.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İade hakkı doğuran işleme ait yüklenilen KDV listesi.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İadesi talep edilen KDV hesaplama tablosu.</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Satış faturaları listesi.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İstisna belgesi ve eki listenin örneği.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8.4.1. Mahsuben İade</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Mükelleflerin bu istisnadan kaynaklanan mahsuben iade talepleri, yukarıdaki belgelerin ibraz edilmiş olması halinde miktarına bakılmaksızın vergi inceleme raporu, YMM raporu ve teminat aranmadan yerine getirilir.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8.4.2. Nakden İade</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Mükelleflerin bu istisnadan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2 –</w:t>
            </w:r>
            <w:r w:rsidRPr="00B451E3">
              <w:rPr>
                <w:rFonts w:ascii="Times New Roman" w:eastAsia="Times New Roman" w:hAnsi="Times New Roman" w:cs="Times New Roman"/>
                <w:sz w:val="18"/>
                <w:szCs w:val="18"/>
                <w:lang w:eastAsia="tr-TR"/>
              </w:rPr>
              <w:t> Aynı Tebliğin (III/A) kısmının (4.6.) bölümü başlığıyla birlikte aşağıdaki şekilde değiştirilmiştir.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w:t>
            </w:r>
            <w:r w:rsidRPr="00B451E3">
              <w:rPr>
                <w:rFonts w:ascii="Times New Roman" w:eastAsia="Times New Roman" w:hAnsi="Times New Roman" w:cs="Times New Roman"/>
                <w:b/>
                <w:bCs/>
                <w:sz w:val="18"/>
                <w:szCs w:val="18"/>
                <w:lang w:eastAsia="tr-TR"/>
              </w:rPr>
              <w:t>4.6. Ön Ödemeli Elektronik Haberleşme Hizmetleri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3065 sayılı Kanunun (23/f) maddesinin Maliye Bakanlığı'na verdiği yetkiye dayanarak, mobil elektronik haberleşme işletmecileri tarafından ön ödemeli hatlara yüklemeler için yapılan satışlar da dahil olmak üzere, bütün ön ödemeli elektronik haberleşme hizmetlerinin özel matrah şekline göre vergilendirilmesi uygun görülmüştür.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Buna göre, mobil elektronik haberleşme işletmecileri tarafından ön ödemeli hatlara yüklemeler için yapılan TL satışları ile sabit telefon hizmeti sunmaya yetkili işletmeciler tarafından yapılan arama kartı satışlarına ilişkin KDV’nin distribütör ve bayi karlarına isabet eden KDV’yi de ihtiva edecek şekilde mobil elektronik haberleşme işletmecileri ve sabit telefon işletmecileri tarafından ön ödemeli satışların yapıldığı dönemde beyan edilmesi gerekmektedir.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 durumda distribütörler ve bayiler, belirtilen kapsamdaki ön ödemeli satışlar için ayrıca vergi hesaplamazlar.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Örnek: </w:t>
            </w:r>
            <w:r w:rsidRPr="00B451E3">
              <w:rPr>
                <w:rFonts w:ascii="Times New Roman" w:eastAsia="Times New Roman" w:hAnsi="Times New Roman" w:cs="Times New Roman"/>
                <w:sz w:val="18"/>
                <w:szCs w:val="18"/>
                <w:lang w:eastAsia="tr-TR"/>
              </w:rPr>
              <w:t>Mobil elektronik haberleşme işletmecisi (K) A.Ş., ön ödemeli hatta yükleme yapılmak üzere, distribütörü (Z) A.Ş.ye, aboneye nihai satış bedeli (vergiler dâhil) 125,50 TL olan yükleme tutarını KDV (%18) ve özel iletişim vergisi (%7,5) hariç 95,00 TL’ye satmıştır. Bu durumda işleme ilişkin KDV aşağıdaki gibi hesaplanır.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Aboneye Nihai Satış Bedeli (Vergiler </w:t>
            </w:r>
            <w:proofErr w:type="gramStart"/>
            <w:r w:rsidRPr="00B451E3">
              <w:rPr>
                <w:rFonts w:ascii="Times New Roman" w:eastAsia="Times New Roman" w:hAnsi="Times New Roman" w:cs="Times New Roman"/>
                <w:sz w:val="18"/>
                <w:szCs w:val="18"/>
                <w:lang w:eastAsia="tr-TR"/>
              </w:rPr>
              <w:t>Dâhil)   </w:t>
            </w:r>
            <w:proofErr w:type="gramEnd"/>
            <w:r w:rsidRPr="00B451E3">
              <w:rPr>
                <w:rFonts w:ascii="Times New Roman" w:eastAsia="Times New Roman" w:hAnsi="Times New Roman" w:cs="Times New Roman"/>
                <w:sz w:val="18"/>
                <w:szCs w:val="18"/>
                <w:lang w:eastAsia="tr-TR"/>
              </w:rPr>
              <w:t>                                               : 125,50 TL</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KDV Matrahı [Aboneye Nihai Satış Bedeli</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xml:space="preserve">(Vergiler </w:t>
            </w:r>
            <w:proofErr w:type="gramStart"/>
            <w:r w:rsidRPr="00B451E3">
              <w:rPr>
                <w:rFonts w:ascii="Times New Roman" w:eastAsia="Times New Roman" w:hAnsi="Times New Roman" w:cs="Times New Roman"/>
                <w:sz w:val="18"/>
                <w:szCs w:val="18"/>
                <w:lang w:eastAsia="tr-TR"/>
              </w:rPr>
              <w:t>Dâhil)/</w:t>
            </w:r>
            <w:proofErr w:type="gramEnd"/>
            <w:r w:rsidRPr="00B451E3">
              <w:rPr>
                <w:rFonts w:ascii="Times New Roman" w:eastAsia="Times New Roman" w:hAnsi="Times New Roman" w:cs="Times New Roman"/>
                <w:sz w:val="18"/>
                <w:szCs w:val="18"/>
                <w:lang w:eastAsia="tr-TR"/>
              </w:rPr>
              <w:t>(100 + KDV Oranı + ÖİV Oranı)*100]                               : 100,00 TL</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Hesaplanan KDV (KDV Matrahı * KDV Oranı/100)                                   </w:t>
            </w:r>
            <w:proofErr w:type="gramStart"/>
            <w:r w:rsidRPr="00B451E3">
              <w:rPr>
                <w:rFonts w:ascii="Times New Roman" w:eastAsia="Times New Roman" w:hAnsi="Times New Roman" w:cs="Times New Roman"/>
                <w:sz w:val="18"/>
                <w:szCs w:val="18"/>
                <w:lang w:eastAsia="tr-TR"/>
              </w:rPr>
              <w:t>  :</w:t>
            </w:r>
            <w:proofErr w:type="gramEnd"/>
            <w:r w:rsidRPr="00B451E3">
              <w:rPr>
                <w:rFonts w:ascii="Times New Roman" w:eastAsia="Times New Roman" w:hAnsi="Times New Roman" w:cs="Times New Roman"/>
                <w:sz w:val="18"/>
                <w:szCs w:val="18"/>
                <w:lang w:eastAsia="tr-TR"/>
              </w:rPr>
              <w:t xml:space="preserve"> 18,00 TL”</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3 –</w:t>
            </w:r>
            <w:r w:rsidRPr="00B451E3">
              <w:rPr>
                <w:rFonts w:ascii="Times New Roman" w:eastAsia="Times New Roman" w:hAnsi="Times New Roman" w:cs="Times New Roman"/>
                <w:sz w:val="18"/>
                <w:szCs w:val="18"/>
                <w:lang w:eastAsia="tr-TR"/>
              </w:rPr>
              <w:t> Aynı Tebliğin (III/B-3.) bölümüne altıncı paragraftan sonra gelmek üzere aşağıdaki paragraf eklenmiştir.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“Bu çerçevede, indirimli orana tabi işlemler nedeniyle yüklenilen ve indirim yoluyla giderilemeyen KDV tutarının iade konusu yapılamayacak kısmıyla ilgili sınır, 2018 yılı için 11.400 TL olarak belirlenmiştir.”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4 –</w:t>
            </w:r>
            <w:r w:rsidRPr="00B451E3">
              <w:rPr>
                <w:rFonts w:ascii="Times New Roman" w:eastAsia="Times New Roman" w:hAnsi="Times New Roman" w:cs="Times New Roman"/>
                <w:sz w:val="18"/>
                <w:szCs w:val="18"/>
                <w:lang w:eastAsia="tr-TR"/>
              </w:rPr>
              <w:t> Aynı Tebliğe ekte yer alan (EK: 25) eklenmiştir.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5 –</w:t>
            </w:r>
            <w:r w:rsidRPr="00B451E3">
              <w:rPr>
                <w:rFonts w:ascii="Times New Roman" w:eastAsia="Times New Roman" w:hAnsi="Times New Roman" w:cs="Times New Roman"/>
                <w:sz w:val="18"/>
                <w:szCs w:val="18"/>
                <w:lang w:eastAsia="tr-TR"/>
              </w:rPr>
              <w:t xml:space="preserve"> Bu Tebliğin 1 ve </w:t>
            </w:r>
            <w:proofErr w:type="gramStart"/>
            <w:r w:rsidRPr="00B451E3">
              <w:rPr>
                <w:rFonts w:ascii="Times New Roman" w:eastAsia="Times New Roman" w:hAnsi="Times New Roman" w:cs="Times New Roman"/>
                <w:sz w:val="18"/>
                <w:szCs w:val="18"/>
                <w:lang w:eastAsia="tr-TR"/>
              </w:rPr>
              <w:t>4 üncü</w:t>
            </w:r>
            <w:proofErr w:type="gramEnd"/>
            <w:r w:rsidRPr="00B451E3">
              <w:rPr>
                <w:rFonts w:ascii="Times New Roman" w:eastAsia="Times New Roman" w:hAnsi="Times New Roman" w:cs="Times New Roman"/>
                <w:sz w:val="18"/>
                <w:szCs w:val="18"/>
                <w:lang w:eastAsia="tr-TR"/>
              </w:rPr>
              <w:t xml:space="preserve"> maddeleri yayımı, diğer maddeleri 1/1/2018 tarihinde yürürlüğe girer.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b/>
                <w:bCs/>
                <w:sz w:val="18"/>
                <w:szCs w:val="18"/>
                <w:lang w:eastAsia="tr-TR"/>
              </w:rPr>
              <w:t>MADDE 6 –</w:t>
            </w:r>
            <w:r w:rsidRPr="00B451E3">
              <w:rPr>
                <w:rFonts w:ascii="Times New Roman" w:eastAsia="Times New Roman" w:hAnsi="Times New Roman" w:cs="Times New Roman"/>
                <w:sz w:val="18"/>
                <w:szCs w:val="18"/>
                <w:lang w:eastAsia="tr-TR"/>
              </w:rPr>
              <w:t> Bu Tebliğ hükümlerini Maliye Bakanı yürütür.</w:t>
            </w:r>
          </w:p>
          <w:p w:rsidR="00B451E3" w:rsidRPr="00B451E3" w:rsidRDefault="00B451E3" w:rsidP="00B451E3">
            <w:pPr>
              <w:spacing w:after="0" w:line="240" w:lineRule="atLeast"/>
              <w:ind w:firstLine="566"/>
              <w:jc w:val="both"/>
              <w:rPr>
                <w:rFonts w:ascii="Times New Roman" w:eastAsia="Times New Roman" w:hAnsi="Times New Roman" w:cs="Times New Roman"/>
                <w:sz w:val="19"/>
                <w:szCs w:val="19"/>
                <w:lang w:eastAsia="tr-TR"/>
              </w:rPr>
            </w:pPr>
            <w:r w:rsidRPr="00B451E3">
              <w:rPr>
                <w:rFonts w:ascii="Times New Roman" w:eastAsia="Times New Roman" w:hAnsi="Times New Roman" w:cs="Times New Roman"/>
                <w:sz w:val="18"/>
                <w:szCs w:val="18"/>
                <w:lang w:eastAsia="tr-TR"/>
              </w:rPr>
              <w:t> </w:t>
            </w:r>
          </w:p>
          <w:p w:rsidR="00B451E3" w:rsidRPr="00B451E3" w:rsidRDefault="00697C2A" w:rsidP="00B451E3">
            <w:pPr>
              <w:spacing w:after="0" w:line="240" w:lineRule="atLeast"/>
              <w:jc w:val="both"/>
              <w:rPr>
                <w:rFonts w:ascii="Times New Roman" w:eastAsia="Times New Roman" w:hAnsi="Times New Roman" w:cs="Times New Roman"/>
                <w:sz w:val="19"/>
                <w:szCs w:val="19"/>
                <w:lang w:eastAsia="tr-TR"/>
              </w:rPr>
            </w:pPr>
            <w:hyperlink r:id="rId4" w:history="1">
              <w:r w:rsidR="00B451E3" w:rsidRPr="00B451E3">
                <w:rPr>
                  <w:rFonts w:ascii="Times New Roman" w:eastAsia="Times New Roman" w:hAnsi="Times New Roman" w:cs="Times New Roman"/>
                  <w:b/>
                  <w:bCs/>
                  <w:color w:val="800080"/>
                  <w:sz w:val="18"/>
                  <w:szCs w:val="18"/>
                  <w:u w:val="single"/>
                  <w:lang w:eastAsia="tr-TR"/>
                </w:rPr>
                <w:t>Ekleri için tıklayınız</w:t>
              </w:r>
            </w:hyperlink>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E3"/>
    <w:rsid w:val="0016633A"/>
    <w:rsid w:val="00697C2A"/>
    <w:rsid w:val="00B451E3"/>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972EA-4804-4655-AE2D-6C5D5430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5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45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451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45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2/20171231-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cp:lastModifiedBy>
  <cp:revision>2</cp:revision>
  <dcterms:created xsi:type="dcterms:W3CDTF">2018-01-03T10:31:00Z</dcterms:created>
  <dcterms:modified xsi:type="dcterms:W3CDTF">2018-01-03T10:31:00Z</dcterms:modified>
</cp:coreProperties>
</file>